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华中科技大学管理学院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企业战略管理（博士）教学大纲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（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2016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年版）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"/>
        </w:numPr>
        <w:spacing w:before="0" w:after="0" w:line="240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授课老师</w:t>
      </w:r>
    </w:p>
    <w:p>
      <w:pPr>
        <w:spacing w:before="0" w:after="0" w:line="240"/>
        <w:ind w:right="0" w:left="0" w:firstLine="21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第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1-2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次课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            </w:t>
      </w: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田志龙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教授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          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u w:val="single"/>
          <w:shd w:fill="auto" w:val="clear"/>
        </w:rPr>
        <w:t xml:space="preserve">zltian@hust.edu.cn</w:t>
      </w:r>
    </w:p>
    <w:p>
      <w:pPr>
        <w:spacing w:before="0" w:after="0" w:line="240"/>
        <w:ind w:right="0" w:left="0" w:firstLine="21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第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3-4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次课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           </w:t>
      </w: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杨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治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副教授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zhiyang@hust.edu.cn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 </w:t>
      </w: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第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5-6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次课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            </w:t>
      </w: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高勇强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教授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          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u w:val="single"/>
          <w:shd w:fill="auto" w:val="clear"/>
        </w:rPr>
        <w:t xml:space="preserve">yqgao@hust.edu.cn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 </w:t>
      </w: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第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7-8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次课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           </w:t>
      </w: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贺远琼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副教授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          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u w:val="single"/>
          <w:shd w:fill="auto" w:val="clear"/>
        </w:rPr>
        <w:t xml:space="preserve">heyuanqiong@hust.edu.cn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numPr>
          <w:ilvl w:val="0"/>
          <w:numId w:val="6"/>
        </w:numPr>
        <w:spacing w:before="0" w:after="0" w:line="240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课程简介</w:t>
      </w:r>
    </w:p>
    <w:p>
      <w:pPr>
        <w:spacing w:before="0" w:after="0" w:line="240"/>
        <w:ind w:right="0" w:left="0" w:firstLine="42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为博士生所开设的企业战略管理课程，通过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8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次有关战略管理领域研究概况和相关理论的教学，目的是为了让学生比较系统地了解战略管理领域的主要理论，阅读和整理经典文献，掌握研究动态，开展批判性评论，培训学生英语文献阅读能力、口头交流和表达能力、批判性思维能力，以及英文学术文章写作和发表的能力。</w:t>
      </w:r>
    </w:p>
    <w:p>
      <w:pPr>
        <w:spacing w:before="0" w:after="0" w:line="240"/>
        <w:ind w:right="0" w:left="0" w:firstLine="42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This Ph.D. course is designed to introduce students to fundamental questions and approaches to the study of strategic management. It covers selected topics on strategic management theories, with a focus on its theoretical foundations and substantial issues. selected topics include: general introduction of strategic management theories, strategic decision and socio-political strategies of the firm, economizing logic of organization, social science perspective of organization, resource-based theory of the firm, institutional theory and the related resource dependence theory, dyamic capabitlity theory, top management team (TMT) and cognition,etc..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numPr>
          <w:ilvl w:val="0"/>
          <w:numId w:val="9"/>
        </w:numPr>
        <w:spacing w:before="0" w:after="0" w:line="240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课程目标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学习战略管理领域研究所常用的理论和方法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培养学生阅读和整理英文文献的能力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培养学生英文口头交流和表达的能力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培养学生的批判性思维，发现研究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gap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的能力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培养学生英文写作和在国际主流期刊发表论文的能力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宋体" w:hAnsi="宋体" w:cs="宋体" w:eastAsia="宋体"/>
          <w:color w:val="000000"/>
          <w:spacing w:val="0"/>
          <w:position w:val="0"/>
          <w:sz w:val="22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To acquire an in-depth understanding of the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theories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concepts, models, and paradigms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that collectively form the foundation for strategic management.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宋体" w:hAnsi="宋体" w:cs="宋体" w:eastAsia="宋体"/>
          <w:color w:val="000000"/>
          <w:spacing w:val="0"/>
          <w:position w:val="0"/>
          <w:sz w:val="22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To gain the critical review skills in identifying the major assumptions, strengths, and limitations of academic papers.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宋体" w:hAnsi="宋体" w:cs="宋体" w:eastAsia="宋体"/>
          <w:color w:val="000000"/>
          <w:spacing w:val="0"/>
          <w:position w:val="0"/>
          <w:sz w:val="22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To develop the critical thinking in generating theory-driven research ideas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宋体" w:hAnsi="宋体" w:cs="宋体" w:eastAsia="宋体"/>
          <w:color w:val="000000"/>
          <w:spacing w:val="0"/>
          <w:position w:val="0"/>
          <w:sz w:val="22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To learn the skills of developing research papers that are publishable at international journals.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numPr>
          <w:ilvl w:val="0"/>
          <w:numId w:val="13"/>
        </w:numPr>
        <w:spacing w:before="0" w:after="0" w:line="240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授课方式</w:t>
      </w:r>
    </w:p>
    <w:p>
      <w:pPr>
        <w:spacing w:before="0" w:after="0" w:line="240"/>
        <w:ind w:right="0" w:left="0" w:firstLine="42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除了第一次课主要由任课老师（田志龙教授）讲授之外，其余所有课时都以学生报告文献阅读，老师点评和引导为主，辅之以老师对理论的简要介绍。因此，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u w:val="single"/>
          <w:shd w:fill="auto" w:val="clear"/>
        </w:rPr>
        <w:t xml:space="preserve">同学们事先的准备对于本课程的顺利开展至关重要。</w:t>
      </w:r>
    </w:p>
    <w:p>
      <w:pPr>
        <w:spacing w:before="0" w:after="0" w:line="240"/>
        <w:ind w:right="0" w:left="0" w:firstLine="42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 classes will be hold in this way except the first class, that is, students make presentations under the guide and inspiration of the professors. a brief introduction of the related theory or theories will be made by the professor at the begining of a class. </w:t>
      </w:r>
    </w:p>
    <w:p>
      <w:pPr>
        <w:spacing w:before="0" w:after="0" w:line="240"/>
        <w:ind w:right="0" w:left="0" w:firstLine="42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   </w:t>
      </w:r>
    </w:p>
    <w:p>
      <w:pPr>
        <w:numPr>
          <w:ilvl w:val="0"/>
          <w:numId w:val="16"/>
        </w:numPr>
        <w:spacing w:before="0" w:after="0" w:line="240"/>
        <w:ind w:right="0" w:left="3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课程要求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u w:val="single"/>
          <w:shd w:fill="auto" w:val="clear"/>
        </w:rPr>
        <w:t xml:space="preserve">   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u w:val="single"/>
          <w:shd w:fill="auto" w:val="clear"/>
        </w:rPr>
        <w:t xml:space="preserve">本课程要求学生全程参与，提前阅读文献，每次课选择1-2篇文献做好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u w:val="single"/>
          <w:shd w:fill="auto" w:val="clear"/>
        </w:rPr>
        <w:t xml:space="preserve">PPT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u w:val="single"/>
          <w:shd w:fill="auto" w:val="clear"/>
        </w:rPr>
        <w:t xml:space="preserve">，并在课堂上交流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u w:val="single"/>
          <w:shd w:fill="auto" w:val="clear"/>
        </w:rPr>
        <w:t xml:space="preserve">. </w:t>
      </w:r>
    </w:p>
    <w:p>
      <w:pPr>
        <w:numPr>
          <w:ilvl w:val="0"/>
          <w:numId w:val="18"/>
        </w:num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In each session, papers in the reading list will be assigned to each individual student. Required</w:t>
      </w:r>
      <w:r>
        <w:rPr>
          <w:rFonts w:ascii="宋体" w:hAnsi="宋体" w:cs="宋体" w:eastAsia="宋体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readings are attached to this syllabus. You must come to each class after thoroughly reading all the</w:t>
      </w:r>
      <w:r>
        <w:rPr>
          <w:rFonts w:ascii="宋体" w:hAnsi="宋体" w:cs="宋体" w:eastAsia="宋体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required readings.</w:t>
      </w:r>
    </w:p>
    <w:p>
      <w:pPr>
        <w:numPr>
          <w:ilvl w:val="0"/>
          <w:numId w:val="18"/>
        </w:num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one to two page (typed, single spaced)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critical review of the assigned paper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will be required from</w:t>
      </w:r>
      <w:r>
        <w:rPr>
          <w:rFonts w:ascii="宋体" w:hAnsi="宋体" w:cs="宋体" w:eastAsia="宋体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each student. Please bring enough copies to the class to distribute to all the participants.</w:t>
      </w:r>
    </w:p>
    <w:p>
      <w:pPr>
        <w:spacing w:before="0" w:after="0" w:line="240"/>
        <w:ind w:right="0" w:left="0" w:firstLine="42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u w:val="single"/>
          <w:shd w:fill="auto" w:val="clear"/>
        </w:rPr>
      </w:pPr>
    </w:p>
    <w:p>
      <w:pPr>
        <w:spacing w:before="0" w:after="0" w:line="240"/>
        <w:ind w:right="0" w:left="0" w:firstLine="42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u w:val="single"/>
          <w:shd w:fill="auto" w:val="clear"/>
        </w:rPr>
        <w:t xml:space="preserve">文献阅读要求：</w:t>
      </w:r>
    </w:p>
    <w:p>
      <w:pPr>
        <w:numPr>
          <w:ilvl w:val="0"/>
          <w:numId w:val="20"/>
        </w:numPr>
        <w:spacing w:before="0" w:after="0" w:line="240"/>
        <w:ind w:right="0" w:left="78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文章写作的动机是什么？为什么所研究的问题在理论上是重要的？</w:t>
      </w:r>
    </w:p>
    <w:p>
      <w:pPr>
        <w:numPr>
          <w:ilvl w:val="0"/>
          <w:numId w:val="20"/>
        </w:numPr>
        <w:spacing w:before="0" w:after="0" w:line="240"/>
        <w:ind w:right="0" w:left="78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文章所基于的主要理论是什么？还能用别的理论来解释吗？</w:t>
      </w:r>
    </w:p>
    <w:p>
      <w:pPr>
        <w:numPr>
          <w:ilvl w:val="0"/>
          <w:numId w:val="20"/>
        </w:numPr>
        <w:spacing w:before="0" w:after="0" w:line="240"/>
        <w:ind w:right="0" w:left="78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文章所采用的方法是什么？所采用的方法是否是最好的？</w:t>
      </w:r>
    </w:p>
    <w:p>
      <w:pPr>
        <w:numPr>
          <w:ilvl w:val="0"/>
          <w:numId w:val="20"/>
        </w:numPr>
        <w:spacing w:before="0" w:after="0" w:line="240"/>
        <w:ind w:right="0" w:left="78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文章的理论贡献是什么？</w:t>
      </w:r>
    </w:p>
    <w:p>
      <w:pPr>
        <w:numPr>
          <w:ilvl w:val="0"/>
          <w:numId w:val="20"/>
        </w:numPr>
        <w:spacing w:before="0" w:after="0" w:line="240"/>
        <w:ind w:right="0" w:left="78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文章假设提出的逻辑清楚吗？</w:t>
      </w:r>
    </w:p>
    <w:p>
      <w:pPr>
        <w:numPr>
          <w:ilvl w:val="0"/>
          <w:numId w:val="20"/>
        </w:numPr>
        <w:spacing w:before="0" w:after="0" w:line="240"/>
        <w:ind w:right="0" w:left="78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文章有什么样的不足？这些不足为什么没有在文章中克服？</w:t>
      </w:r>
    </w:p>
    <w:p>
      <w:pPr>
        <w:numPr>
          <w:ilvl w:val="0"/>
          <w:numId w:val="20"/>
        </w:numPr>
        <w:spacing w:before="0" w:after="0" w:line="240"/>
        <w:ind w:right="0" w:left="78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如果要沿着文章的主题让你继续深入写一篇文章，你有什么样的想法？</w:t>
      </w:r>
    </w:p>
    <w:p>
      <w:pPr>
        <w:numPr>
          <w:ilvl w:val="0"/>
          <w:numId w:val="20"/>
        </w:numPr>
        <w:spacing w:before="0" w:after="0" w:line="240"/>
        <w:ind w:right="0" w:left="78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文章中还有什么方面的技巧？</w:t>
      </w:r>
    </w:p>
    <w:p>
      <w:pPr>
        <w:spacing w:before="0" w:after="0" w:line="240"/>
        <w:ind w:right="0" w:left="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Critical Comments (the most important part)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: raise the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problems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concerns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point by point,usually following the paper’s structure. For example,</w:t>
      </w:r>
    </w:p>
    <w:p>
      <w:pPr>
        <w:numPr>
          <w:ilvl w:val="0"/>
          <w:numId w:val="22"/>
        </w:num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Is the main research question important/significant? Why?</w:t>
      </w:r>
    </w:p>
    <w:p>
      <w:pPr>
        <w:numPr>
          <w:ilvl w:val="0"/>
          <w:numId w:val="22"/>
        </w:num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Are the assumptions in the conceptual model valid? Why?</w:t>
      </w:r>
    </w:p>
    <w:p>
      <w:pPr>
        <w:numPr>
          <w:ilvl w:val="0"/>
          <w:numId w:val="22"/>
        </w:num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Is the hypothesis development solid? Is the logic clear? Why?</w:t>
      </w:r>
    </w:p>
    <w:p>
      <w:pPr>
        <w:numPr>
          <w:ilvl w:val="0"/>
          <w:numId w:val="22"/>
        </w:num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Is the research design, sampling, or empirical analysis appropriate?</w:t>
      </w:r>
    </w:p>
    <w:p>
      <w:pPr>
        <w:numPr>
          <w:ilvl w:val="0"/>
          <w:numId w:val="22"/>
        </w:num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Are the conclusions of the paper valid? Does the paper answer the questions proposed?</w:t>
      </w:r>
    </w:p>
    <w:p>
      <w:pPr>
        <w:numPr>
          <w:ilvl w:val="0"/>
          <w:numId w:val="22"/>
        </w:num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What are your suggestions for the authors to solve the issues you raise? Whatis the possible way of extension? How would you proceed?</w:t>
      </w:r>
    </w:p>
    <w:p>
      <w:pPr>
        <w:numPr>
          <w:ilvl w:val="0"/>
          <w:numId w:val="22"/>
        </w:num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How would you position the article among the assigned readings or in thefield?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附：文献阅读列表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1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）第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1-2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次课（田志龙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教授）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05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第1次课，主题：战略管理理论概述</w:t>
      </w:r>
    </w:p>
    <w:p>
      <w:pPr>
        <w:numPr>
          <w:ilvl w:val="0"/>
          <w:numId w:val="25"/>
        </w:numPr>
        <w:spacing w:before="0" w:after="0" w:line="240"/>
        <w:ind w:right="0" w:left="765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战略管理领域的研究问题与前沿介绍</w:t>
      </w:r>
    </w:p>
    <w:p>
      <w:pPr>
        <w:numPr>
          <w:ilvl w:val="0"/>
          <w:numId w:val="25"/>
        </w:numPr>
        <w:spacing w:before="0" w:after="0" w:line="240"/>
        <w:ind w:right="0" w:left="765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战略管理基础理论体系：教材内容回顾</w:t>
      </w:r>
    </w:p>
    <w:p>
      <w:pPr>
        <w:numPr>
          <w:ilvl w:val="0"/>
          <w:numId w:val="25"/>
        </w:numPr>
        <w:spacing w:before="0" w:after="0" w:line="240"/>
        <w:ind w:right="0" w:left="765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战略管理研究领域介绍：</w:t>
      </w:r>
    </w:p>
    <w:p>
      <w:pPr>
        <w:numPr>
          <w:ilvl w:val="0"/>
          <w:numId w:val="25"/>
        </w:numPr>
        <w:spacing w:before="0" w:after="0" w:line="240"/>
        <w:ind w:right="0" w:left="765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战略管理领域研究的理论视角介绍</w:t>
      </w:r>
    </w:p>
    <w:p>
      <w:pPr>
        <w:spacing w:before="0" w:after="0" w:line="240"/>
        <w:ind w:right="0" w:left="0" w:firstLine="405"/>
        <w:jc w:val="left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阅读材料：</w:t>
      </w:r>
    </w:p>
    <w:p>
      <w:pPr>
        <w:spacing w:before="0" w:after="0" w:line="240"/>
        <w:ind w:right="0" w:left="0" w:firstLine="405"/>
        <w:jc w:val="left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《战略管理》教材：你在本科和硕士阶段用过的战略管理教材；例如：M.A.希特，R.D.爱尔兰，R.E.霍斯基森著. 战略管理：竞争与全球化（概念），北京：机械工业出版社.</w:t>
      </w:r>
    </w:p>
    <w:p>
      <w:pPr>
        <w:spacing w:before="0" w:after="0" w:line="240"/>
        <w:ind w:right="0" w:left="0" w:firstLine="405"/>
        <w:jc w:val="left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M.E.波特著. 竞争战略. 北京：华夏出版社. </w:t>
      </w:r>
    </w:p>
    <w:p>
      <w:pPr>
        <w:spacing w:before="0" w:after="0" w:line="240"/>
        <w:ind w:right="0" w:left="0" w:firstLine="405"/>
        <w:jc w:val="left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M.E.波特著. 竞争优势. 北京：华夏出版社.</w:t>
      </w:r>
    </w:p>
    <w:p>
      <w:pPr>
        <w:spacing w:before="0" w:after="0" w:line="240"/>
        <w:ind w:right="0" w:left="0" w:firstLine="405"/>
        <w:jc w:val="left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05"/>
        <w:jc w:val="left"/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第2次课，主题：战略决策与企业社会-政治战略</w:t>
      </w:r>
    </w:p>
    <w:p>
      <w:pPr>
        <w:numPr>
          <w:ilvl w:val="0"/>
          <w:numId w:val="27"/>
        </w:numPr>
        <w:spacing w:before="0" w:after="0" w:line="240"/>
        <w:ind w:right="0" w:left="765" w:hanging="360"/>
        <w:jc w:val="left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“环境-战略-绩效”范式中的战略是如何制定的？</w:t>
      </w:r>
    </w:p>
    <w:p>
      <w:pPr>
        <w:numPr>
          <w:ilvl w:val="0"/>
          <w:numId w:val="27"/>
        </w:numPr>
        <w:spacing w:before="0" w:after="0" w:line="240"/>
        <w:ind w:right="0" w:left="765" w:hanging="360"/>
        <w:jc w:val="left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企业的社会-政治战略（或企业非市场行为）</w:t>
      </w:r>
    </w:p>
    <w:p>
      <w:pPr>
        <w:spacing w:before="0" w:after="0" w:line="240"/>
        <w:ind w:right="0" w:left="405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阅读材料</w:t>
      </w:r>
    </w:p>
    <w:p>
      <w:pPr>
        <w:spacing w:before="0" w:after="0" w:line="240"/>
        <w:ind w:right="0" w:left="405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H.明茨伯格等著. 战略历程：纵览战略管理学派. 北京：机械工业出版社. </w:t>
      </w:r>
    </w:p>
    <w:p>
      <w:pPr>
        <w:spacing w:before="0" w:after="0" w:line="240"/>
        <w:ind w:right="0" w:left="0" w:firstLine="420"/>
        <w:jc w:val="left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赫伯特.西蒙. 管理行为(a study of decision-making process in administrative organizations). 机械工业出版社</w:t>
      </w:r>
    </w:p>
    <w:p>
      <w:pPr>
        <w:spacing w:before="0" w:after="0" w:line="240"/>
        <w:ind w:right="0" w:left="0" w:firstLine="42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Richard Scott.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组织理论（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Organizations: rational, natural and open system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）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.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华夏出版社，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2001</w:t>
      </w:r>
    </w:p>
    <w:p>
      <w:pPr>
        <w:spacing w:before="0" w:after="0" w:line="240"/>
        <w:ind w:right="0" w:left="0" w:firstLine="42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Richard Scott.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制度与组织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( Institutions and organizations).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中国人民大学出版社，</w:t>
      </w:r>
    </w:p>
    <w:p>
      <w:pPr>
        <w:spacing w:before="0" w:after="0" w:line="240"/>
        <w:ind w:right="0" w:left="0" w:firstLine="42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Pfeffer, J. and Salancik, G.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组织的外部控制（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The external control of organization: a resource dependence perspective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）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. Stanford: Stanford University Press,2003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（可查国内翻译版）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2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）第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3-4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次课（杨治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副教授）</w:t>
      </w: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第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次课，主题：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u w:val="single"/>
          <w:shd w:fill="auto" w:val="clear"/>
        </w:rPr>
        <w:t xml:space="preserve">The Economics of Organization</w:t>
      </w:r>
    </w:p>
    <w:p>
      <w:pPr>
        <w:spacing w:before="0" w:after="0" w:line="240"/>
        <w:ind w:right="0" w:left="0" w:firstLine="42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需阅读文献（前4篇必读)：</w:t>
      </w: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Oliver E. Williamson.1991.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Strategizing, Economizing, and Economic Organization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. Strategic Management Journal, 12:75-94.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David A. Griffith, Robert F. Lusch. 2007.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Getting Marketers to invest in firm-specific capital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 Journal of Marketing.71: 129-145.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Yan Zhang, Haiyang Li, Michael A. Hitt and Geng Cui. 2007.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R&amp;D Intensity and International Joint Venture Performance in an Emerging Market: Moderating Effects of Market Focus and Ownership Structure”. Journal of International Business Studies. 38. 944-960.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Zhilin Yang, Chenting Su, Kim-Shyan Fam. 2012.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Dealing with institutional distance in international marketing channels: Governanc strategies that engender legitimacy and efficiency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. Journal of Marketing. 76: 41-55</w:t>
      </w: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Coase, R. H. 1937.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The nature of the firm,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Economica 386-405.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Williamson, Oliver E. 1996.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Transaction Cost Economics and Organization Theory.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Ch. 9 in The Mechanisms of Governance, Oxford University Press.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Williamson, Oliver E. 1975. Markets and Hierarchies. Free Press, pp. 132-54 on the multidivisional structure.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Williamson, Oliver E. 1985. The Economic Institutions of Capitalism. Free Press.Pp. 206-239 on the organization of work.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Klein, Benjamin. 1988.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Vertical Integration as Organizational Ownership: The Fisher Body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General Motors Relationship Revisited.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Journal of Law, Economics, and Organization 4:199-213.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Freeland, Robert. 2000.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Creating Holdup Through Vertical Integration: Fisher Body Revisited.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Journal of Law and Economics pp. 33-66.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Holmstrom, Bengt and John Roberts. 1998.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The Boundaries of the Firm Revisited.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Journal of Economic Perspectives 12: 73-94.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Filipe M. Santos, Kathleen M. Eisenhardt, 2005.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Organizational boundaries and theories of organization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. Organization Science. 16: 491-508.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4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  <w:t xml:space="preserve">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  <w:t xml:space="preserve">次课，主题：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u w:val="single"/>
          <w:shd w:fill="auto" w:val="clear"/>
        </w:rPr>
        <w:t xml:space="preserve">Social Science of Organization</w:t>
      </w:r>
    </w:p>
    <w:p>
      <w:pPr>
        <w:spacing w:before="0" w:after="0" w:line="240"/>
        <w:ind w:right="0" w:left="0" w:firstLine="44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2"/>
          <w:shd w:fill="auto" w:val="clear"/>
        </w:rPr>
        <w:t xml:space="preserve">需阅读文献(前4篇必读）：</w:t>
      </w: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Zhixing Xiao,Anne S. Tsui. 2007.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 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When Brokers May Not Work: The Cultural Contingency of Social Capital in Chinese High-Tech Firms”. Administrative Science Quarterly, 52:1-31.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Yan Zhang, Haiyang Li. 2010.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Innovation search of new ventures in a technology cluster: The role of ties with service intermediaries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. Strategic Management Journal, 31: 88-109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Veronica H. Villena, Elena Revilla, Thomas Y. Choi, 2011.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The dark side of buyer-supplier relationships: A social capital perspective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. Journal of Operations Management. 29: 561-576.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Noordhoff, Corine S., Kyriakos Kyriakopoulos, Christine Moorman, Pieter Pauwels and Benedict G.C. Dellaert, 2011.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The bright side and dark side of embedded ties in business-to-business innovation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. Journal of Marketing. 75:34-52</w:t>
      </w: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Granovetter, Mark 1985. "Economic action and social structure: The problem of embeddedness," AJS 91:481-510.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Powell, Walter W. 1990.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Neither market nor hierarchy: Network forms of organization,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in Research in Organization Behavior, 12: 295-336, Barry M. Staw and L. L. Cummings, eds. JAI.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Burt, Ron. 1992. Structural Holes, Harvard University Press. Ch. 1, The Social Structure of Competition, pp. 8-49.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Uzzi, Brian, 1997.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Social Structure and Competition in Interfirm Networks: The Paradox of Embeddedness.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ASQ 42: 35-67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Powell, Walter W., K. Koput, and L. Smith-Doerr. 1996.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Interorganizational Collaboration and the Locus of Innovation.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ASQ 41(1): 116-45.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Uzzi, Brian. 1999.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Embeddedness in the Making of Financial Capital.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ASR 64: 481-505.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Podolny, Joel. 2001.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Networks as the Pipes and Prisms of the Market.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AJS 107(1): 33-60.</w:t>
      </w: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Ahuja, Gautam. 2000. Collaboration networks, structural holes, and innovation: A longitudinal study. ASQ 45: 425-455.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2"/>
          <w:shd w:fill="auto" w:val="clear"/>
        </w:rPr>
        <w:t xml:space="preserve">）第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5-6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2"/>
          <w:shd w:fill="auto" w:val="clear"/>
        </w:rPr>
        <w:t xml:space="preserve">次课（高勇强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2"/>
          <w:shd w:fill="auto" w:val="clear"/>
        </w:rPr>
        <w:t xml:space="preserve">教授）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  <w:t xml:space="preserve">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  <w:t xml:space="preserve">次课，主题：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Resource-Based Theory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2"/>
          <w:shd w:fill="auto" w:val="clear"/>
        </w:rPr>
        <w:t xml:space="preserve">   需阅读文献（前4篇必读）：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Laurence Capron and Oliver Chatain. Competitors' resource-oriented strategies: Acting on competitors' resources through interventions in factor markets and political markets. Academy of Management Review, 2008, 33(1): 97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121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 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0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Francisco Jose Acedo, Carmen Barroso, and Jose Luis Galan. The resource-based theory: Dissemination and Main Trends. Strategic Management Journal, 2006, 27: 621-636.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      Scott L. Newbert. Empirical research on the resource-based view of the firm: An assessment and suggestions for future research. Strategic Management Journal, 2007. 28: 121-146.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      Martin H. Kunc and John D.W. Morecroft. Managerial decision making and firm performance under a resource-based paradigm. Strategic Management Journal, 2010, 31: 1164-1182.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    Scott L. Newbert. Value, rareness, competitive advantage, and performance: A conceptual-level empirical investigateion of the resource-based view of the firm. Strategic Management Journal, 2008, 29: 745-768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Mona Markhija. Comparing the resource-based and market-based view of the firm: empirical evidnce from Crech privatization. Strategic Management Journal, 2003,24(5):433-451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Margaret Peteraf. The cornerstones of competitive advantage: A resource-based view. Strategic Management Journal, 1993,14(3):179-191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Constance Helfat and Margaret Peteraf. The dynamic resource-based view: capability lifecycles. Strategic Management Journal, 2003, 24(10):997-1010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David Hoopes, Tammy Madsen and Gordon Walker. Why is there a resource-based view? Toward a theory of competitive heterogeneity. Strategic Management Journal, 2003, 24(10):889-902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Birger Wernerfelt. A resource-based View of the firm. Strategic Management Journal, 1984,5(2):171-180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Barney J.B. Firm resources and sustained competitive advantage. Journal of Management, 1991 (17) : 65-75.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6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次课，主题：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Institutional Theory (related Resource Dependence Theory)</w:t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 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0"/>
          <w:shd w:fill="auto" w:val="clear"/>
        </w:rPr>
        <w:t xml:space="preserve">需阅读文献（前4篇必读）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Tina Dacin, Jerry Goodstein and Richard Scott. Institutional theory and institutional change: introduction to the special research forum. Academy of Management Journal, 2002, 45(1):45-57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Davis, G.F. and Cobb, J.A. Resource Dependence Theory: Past and Future. Research in the Sociology of Organizations, 2009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Marya L. Besharov and Wendy K. Smith. Multiple institutional logics in organizations: Explainning their varied nature and implications. Academy of Management Review, 2014, 39(3): 364-381.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Alex Bitektine and Patrick Haack. The "macro" and the "micro" of legitimacy: Toward a multilevel theory of the legitimacy process. Academy of Management Review, 2015, 40: 49-75.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Anne-Claire Pache and Filipe Santos. Inside the hybrid organization: Selective coupling as a response to competing institutional logics. Academy of Management Journal, 2013, 56(4): 972-1001.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Christine Oliver. Sustainable competitive advantage: combining institutional and resource-based view. Strategic Management Journal, 1997, 18(9):697-713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Taltiana Kostova and Kendall Roth. Adoption of an organizational practice by subsidiaries of multinational corporations: institutional and relational effects. Academy of Management Journal, 2002, 45(1):215-233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Alaka Rao, Jone Pearce and Katherine Xin. Governments, reciprocal exchange and trust among business associates. Journal of international business Studies, 2005, 36:104-118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Sheng, S., Zhou, K., and Li, J. The effects of business and political ties on firm performance: Evidence from China. Journal of Marketing, 2011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Barbara Gray, Jill M. Purdy, and Shahzad Ansari. From interactions to institutions: Microprocesses of framing and mechanisms for the structuring of institutional fields. Academy of Management Review, 2015, 40(1): 115-143.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2"/>
          <w:shd w:fill="auto" w:val="clear"/>
        </w:rPr>
        <w:t xml:space="preserve">）第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7-8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2"/>
          <w:shd w:fill="auto" w:val="clear"/>
        </w:rPr>
        <w:t xml:space="preserve">次课（贺远琼 副教授）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2"/>
          <w:shd w:fill="auto" w:val="clear"/>
        </w:rPr>
        <w:t xml:space="preserve">第7次课，主题：Dynamic Capability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2"/>
          <w:shd w:fill="auto" w:val="clear"/>
        </w:rPr>
        <w:t xml:space="preserve">   需阅读文献（前4篇必读）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2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Ethiraj, S.K., Kale, P., Krishnan, M.S. and Singh, J.V.. Where do capabilities come from and how do they matter? A study in the software services industry. Strategic Management Journal, 2005, 26: 25-45.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Kale, P. and Singh, H.. Building firm capabilities through learning: The role of the alliance learning process in alliance capability and firm-level alliance success. Strategic Management Journal, 2007, 28: 981-1000.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0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Doving, E. and Gooderham, P.N.. Dynamic capabilities as antecedents of the scope of related diversification: The case of small firm accountancy practices. Strategic Management Journal, 2008, 29: 841-857.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Teece, D.J. Explicating dynamic capabilities: The nature and microfoundations of sustainable enterprise performance. Strategic Management Journal, 2007, 28: 1319-1350.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Sidney Winter. Understanding dynamic capabilities. Strategic Management journal, 2003,24(10):991-995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Eisenhardt, K. and J. Martin (2000). Dynamic capabilities: What are they?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1"/>
          <w:shd w:fill="auto" w:val="clear"/>
        </w:rPr>
        <w:t xml:space="preserve">Strategic Management Journal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, 21: 1105-1121.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  Teece, D. Pisano, G. and Shuen, A. Dynamic capabilities and strategic management. Strategic Management Journal, 1997, 18(7):509-533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Constance Helfat. Know-how and asset complementarily and dynamic capability accumulation: the case of R&amp;D. Strategic Management Journal, 1997,18(5):339-360</w:t>
      </w: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Ajitabh Ambastha and K Momaya. Competitiveness of firms: review of theory, frameworks and models. Singapore Management Review, 2004,26(1):45-62</w:t>
      </w: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Jay Barney. How a firm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s capabilities affect boundary decisions. Sloan Management Review, 1999, 40(3):137.</w:t>
      </w: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Jay Barney and Mark Hansen. Trustworthiness as a source of competitive advantage. Strategic Management Journal, 1994, 15(special issue):175-190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Jay Barney. Looking inside for competitive advantage. Academy of Management Review, 1995, 9(4): 49-62</w:t>
      </w: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Iain Cockburn, Rebecca Henderson and Scott Stern. Understanding the origins of competitive advantage. Strategic Management Journal, 2000, 21(10/11): 1123-1145</w:t>
      </w: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Shaker Zahra, Harry Sapienza and Per Davidsson. Entrepreneurship and dynamic capabilities: a review, model and research agenda. Journal of Management Studies, 2006, 43(4):917-956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Pankaj Ghemawat and Joan Costa. The organizational tension between static and dynamic efficiency. Strategic Management Journal, 1993,14(special issue): 59-73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Constance Helfat. Know-how and asset complementarily and dynamic capability accumulation: the case of R&amp;D. Strategic Management Journal, 1997,18(5):339-360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McEvily, B. and Marcus, A.. Embedded ties and the acquisition of competitive capabilities. Strategic Management Journal, 2005, 26: 1033-1055.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2"/>
          <w:shd w:fill="auto" w:val="clear"/>
        </w:rPr>
        <w:t xml:space="preserve">    第8次课，主题：TMT and cognition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2"/>
          <w:shd w:fill="auto" w:val="clear"/>
        </w:rPr>
        <w:t xml:space="preserve">    需阅读文献（前4篇必读）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Gary, M.S., Wood, R.E. and Pillinger, T.. Enhancing mental models, analogical transfer, and performance in strategic decision making. Strategic Management Journal, 2012, 33: 1229-1246.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Kilduff, M., Angelmar, R. and Mehra, A.. Top management-team diversity and firm performance: Examining the role of cognitions. Organization Science. 2000, 11(1): 21-34.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Cho, T.S. and Hambrick, D.C.. Attention as the Mediator Between Top Management Team Characteristics and Strategic Change: The Case of Airline Deregulation.. Organization Science, 2006, 17(4): 453-470.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Dane, E. and Pratt, M.G.. Exploring intuition and its role in managerial decision making. Academy of Management Review, 2007, 32(1): 33-54.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Kaplan, S.. Framing contests: Strategy making under uncertainty. Organization Science, 2008, 19(5): 729-752.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Hodgkinson, G.P. and Healey, M.P.. Psychological foundations of dynamic capabilities: reflexion and reflection in strategic management. Strategic Management Journal, 2011, 32: 1500-1516.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Ocasio, W.. Towards an attention-based view of the firm. Strategic Management Journal, 1997, 18(summer special issue): 187-206.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Stubbart, C.I.. Managerial cognition: A missing link in strategic management research. Journal of Management Studies, 1989, 26(4): 325-347.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Narayanan, V.K., Zane, L.J., Kemmerer, B.. The cognitive perspective in strategy: An integrative review. Journal of Management, 2011, 37(1): 305-351.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Weick, K.E., Sutcliffe, K.M. and Obstfeld, D.. Organizing and the process of sensemaking. Organization Science, 2005, 16(4): 409-421.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Nadkarnl, S. and Barr, P.S.. Environmental context, managerial cognition, and strategic action: An integrated view. Strategic Management Journal, 2008, 29: 1395-1427.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Greve, H.R.. Managerial cognition and the mimetic adoption of market positions: What you see is what you do. Strategic Management Journal, 1998, 19: 967-988.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Gavetti, G. and Rivkin, J.W.. On the Origin of Strategy: Action and Cognition over Time. Organization Science, 2007, 18(3): 420-421.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Dutton, J.E. and Jackson, S.E.. Categorizing strategic issues: Links to organizational action. Academy of Management Review, 1987, 12(1): 76-90.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Weick, K.E., Sutcliffe, K.M. and Obstfeld, D.. Organizing and the process of sensemaking. Organization Science, 2005, 16(4): 409-421.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Gavetti, G., Levinthal, D.A. and Rivkin, J.W.. Strategy making in novel and complex worlds: The power of analogy. Strategic Management Journal, 2005, 26(8): 691-712.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Greve, H.R. and Taylor, A.. Innovations as catalysts for organizational change: Shifts in organizational cognition and search. Administrative Science Quarterly, 2000, 45(1): 54-83.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Panagiotou, G.. The impact of managerial cognitions on the structure-conduct-performance paradigm: A strategic group perspective. Management Decision, 2006, 44(3): 423-441.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Ashkanasy, N.M.. Studies of cognition and emotion in organizations: Attribution, affective events, emotional intelligence and perception of emotion. Australian Journal of Management, 2002, 27: 11-21.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Tripsas, M. and Gavetti, G.. Capabilities, cognition, and inertia: Evidence from digital imaging. Strategic Management Journal, 2000, 21(10/11): 1147-1161.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2">
    <w:abstractNumId w:val="54"/>
  </w:num>
  <w:num w:numId="6">
    <w:abstractNumId w:val="48"/>
  </w:num>
  <w:num w:numId="9">
    <w:abstractNumId w:val="42"/>
  </w:num>
  <w:num w:numId="13">
    <w:abstractNumId w:val="36"/>
  </w:num>
  <w:num w:numId="16">
    <w:abstractNumId w:val="30"/>
  </w:num>
  <w:num w:numId="18">
    <w:abstractNumId w:val="24"/>
  </w:num>
  <w:num w:numId="20">
    <w:abstractNumId w:val="18"/>
  </w:num>
  <w:num w:numId="22">
    <w:abstractNumId w:val="12"/>
  </w:num>
  <w:num w:numId="25">
    <w:abstractNumId w:val="6"/>
  </w:num>
  <w:num w:numId="2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